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7" w:rsidRPr="009F0BAF" w:rsidRDefault="00E47817" w:rsidP="00E47817">
      <w:pPr>
        <w:widowControl w:val="0"/>
        <w:suppressAutoHyphens/>
        <w:spacing w:after="0" w:line="240" w:lineRule="auto"/>
        <w:ind w:left="446" w:right="413" w:firstLine="206"/>
        <w:jc w:val="center"/>
        <w:rPr>
          <w:rFonts w:ascii="PT Astra Serif" w:eastAsia="Times New Roman" w:hAnsi="PT Astra Serif" w:cs="Tahoma"/>
          <w:b/>
          <w:color w:val="000000"/>
          <w:kern w:val="2"/>
          <w:sz w:val="24"/>
          <w:szCs w:val="24"/>
        </w:rPr>
      </w:pPr>
      <w:r w:rsidRPr="009F0BAF">
        <w:rPr>
          <w:rFonts w:ascii="PT Astra Serif" w:eastAsia="Times New Roman" w:hAnsi="PT Astra Serif" w:cs="Tahoma"/>
          <w:b/>
          <w:color w:val="000000"/>
          <w:kern w:val="2"/>
          <w:sz w:val="24"/>
          <w:szCs w:val="24"/>
        </w:rPr>
        <w:t xml:space="preserve">ПРОГРАММА </w:t>
      </w:r>
    </w:p>
    <w:p w:rsidR="00E47817" w:rsidRDefault="00E47817" w:rsidP="00E47817">
      <w:pPr>
        <w:widowControl w:val="0"/>
        <w:suppressAutoHyphens/>
        <w:spacing w:after="0" w:line="240" w:lineRule="auto"/>
        <w:ind w:left="446" w:right="413" w:firstLine="206"/>
        <w:jc w:val="center"/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</w:pPr>
      <w:r w:rsidRPr="009F0BAF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лесного </w:t>
      </w:r>
      <w:r w:rsidRPr="009F0BAF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контроля</w:t>
      </w:r>
      <w:r w:rsidRPr="009F0BAF">
        <w:rPr>
          <w:rFonts w:ascii="PT Astra Serif" w:hAnsi="PT Astra Serif"/>
          <w:color w:val="000000"/>
          <w:kern w:val="2"/>
          <w:sz w:val="24"/>
          <w:szCs w:val="24"/>
        </w:rPr>
        <w:t xml:space="preserve"> </w:t>
      </w:r>
      <w:r w:rsidRPr="008D0854">
        <w:rPr>
          <w:rFonts w:ascii="PT Astra Serif" w:hAnsi="PT Astra Serif"/>
          <w:color w:val="000000"/>
          <w:kern w:val="2"/>
          <w:sz w:val="24"/>
          <w:szCs w:val="24"/>
        </w:rPr>
        <w:t xml:space="preserve">на территории городского округа с внутригородским делением «город Махачкала» </w:t>
      </w:r>
      <w:r w:rsidRPr="009F0BAF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на </w:t>
      </w:r>
      <w:r w:rsidR="005735A7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2025</w:t>
      </w:r>
      <w:r w:rsidRPr="009F0BAF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 год</w:t>
      </w:r>
    </w:p>
    <w:p w:rsidR="00E47817" w:rsidRPr="009F0BAF" w:rsidRDefault="00E47817" w:rsidP="00E47817">
      <w:pPr>
        <w:widowControl w:val="0"/>
        <w:suppressAutoHyphens/>
        <w:spacing w:after="0" w:line="240" w:lineRule="auto"/>
        <w:ind w:left="446" w:right="413" w:firstLine="206"/>
        <w:jc w:val="center"/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</w:pP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47817" w:rsidRPr="009F0BAF" w:rsidRDefault="00E47817" w:rsidP="00E4781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городского округа с внутригородским делением «город Махачкала» в лице структурного подразделения Администрации города Махачкалы, уполномоченного на его осуществление (далее – контрольный (надзорный) орган)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Положением о муниципальном лесном контроле на территории городского округа с внутригородским делением «город Махачкала» (далее – Положение), утвержденным </w:t>
      </w:r>
      <w:r w:rsidRPr="009F0BAF">
        <w:rPr>
          <w:rFonts w:ascii="Times New Roman" w:eastAsia="Times New Roman" w:hAnsi="Times New Roman"/>
          <w:color w:val="000000"/>
          <w:kern w:val="2"/>
          <w:sz w:val="26"/>
          <w:szCs w:val="26"/>
        </w:rPr>
        <w:t xml:space="preserve">решением Собрания депутатов городского округа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</w:rPr>
        <w:br/>
      </w:r>
      <w:r w:rsidRPr="009F0BAF">
        <w:rPr>
          <w:rFonts w:ascii="Times New Roman" w:eastAsia="Times New Roman" w:hAnsi="Times New Roman"/>
          <w:color w:val="000000"/>
          <w:kern w:val="2"/>
          <w:sz w:val="26"/>
          <w:szCs w:val="26"/>
        </w:rPr>
        <w:t>с внутригородским делением «город Махачкала» от 28.09.2021 № 12-8 «Об утверждении Положения о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</w:rPr>
        <w:t xml:space="preserve"> муниципальном лесном контроле </w:t>
      </w:r>
      <w:r w:rsidRPr="009F0BAF">
        <w:rPr>
          <w:rFonts w:ascii="Times New Roman" w:eastAsia="Times New Roman" w:hAnsi="Times New Roman"/>
          <w:color w:val="000000"/>
          <w:kern w:val="2"/>
          <w:sz w:val="26"/>
          <w:szCs w:val="26"/>
        </w:rPr>
        <w:t>на территории городского округа с внутригородским делением «город Махачкала»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осуществляет муниципальный лесной контроль за:</w:t>
      </w:r>
    </w:p>
    <w:p w:rsidR="00E47817" w:rsidRPr="009F0BAF" w:rsidRDefault="00E47817" w:rsidP="00E47817">
      <w:pPr>
        <w:widowControl w:val="0"/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 w:cs="Tahoma"/>
          <w:kern w:val="2"/>
          <w:sz w:val="26"/>
          <w:szCs w:val="26"/>
          <w:highlight w:val="yellow"/>
        </w:rPr>
      </w:pP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соблюдением юридическими лицами, индивидуальными предпринимателями 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br/>
      </w: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и гражданами (далее – контролируемые лица) обязательных требований в отношении лесных участков, находящихся в собственности территории городского округа 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br/>
      </w: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с внутригородским делением «город Махачкала», требований, установленных 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br/>
      </w: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 в области использования, защиты, воспроизводства лесов 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br/>
      </w: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и лесоразведения, в том числе в области семеноводства в отношении семян лесных растений.</w:t>
      </w:r>
    </w:p>
    <w:p w:rsidR="00E47817" w:rsidRPr="009F0BAF" w:rsidRDefault="00E47817" w:rsidP="00E47817">
      <w:pPr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Объектами муниципального лесного контроля являются: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деятельность контролируемых лиц в сфере лесного хозяйства;</w:t>
      </w:r>
    </w:p>
    <w:p w:rsidR="00E47817" w:rsidRPr="009F0BAF" w:rsidRDefault="00E47817" w:rsidP="00E47817">
      <w:pPr>
        <w:suppressAutoHyphens/>
        <w:spacing w:after="0" w:line="240" w:lineRule="auto"/>
        <w:ind w:firstLine="708"/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</w:pP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br/>
      </w: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и организации владеют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 </w:t>
      </w:r>
      <w:r w:rsidRPr="009F0BAF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и (или) пользуются и к которым предъявляются обязательные требования.</w:t>
      </w:r>
    </w:p>
    <w:p w:rsidR="00E47817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Подконтрольными субъектами при осуществлении муниципального лесного контроля является деятельность контролируемых лиц в сфере лесного хозяйства,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использованию лесов, защиты лесов, а также воспроизводство лесов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лесоразведение, оценка соблюдения которых является предметом муниципального лесного контроля.</w:t>
      </w:r>
    </w:p>
    <w:p w:rsidR="00E47817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Цели и задачи реализации программы профилактики рисков причинения вреда</w:t>
      </w: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bCs/>
          <w:color w:val="000000"/>
          <w:kern w:val="24"/>
          <w:sz w:val="26"/>
          <w:szCs w:val="26"/>
          <w:lang w:eastAsia="ru-RU"/>
        </w:rPr>
        <w:tab/>
        <w:t xml:space="preserve">-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включая устранение причин, факторов и условий, способствующих возможному нарушению обязательных требований;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- повышение уровня правовой грамотности подконтрольных субъектов,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в том числе путем доступности информации об обязательных требованиях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 необходимых мерах по их исполнению;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- создание системы консультирования подконтрольных субъектов, в том числе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использованием современных информационно-телекоммуникационных технологий;</w:t>
      </w:r>
    </w:p>
    <w:p w:rsidR="00E47817" w:rsidRPr="009F0BAF" w:rsidRDefault="00E47817" w:rsidP="00E47817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- другие задачи в зависимости от выявленных проблем в регулируемой сфере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текущего состояния профилактической работы.</w:t>
      </w: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5735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2025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год.</w:t>
      </w: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частности проведения обязательных профилактических визитов. Изменения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данную часть Программы в случае необходимости вносятся ежемесячно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 проведения публичного обсуждения.</w:t>
      </w:r>
    </w:p>
    <w:p w:rsidR="00E47817" w:rsidRPr="009F0BAF" w:rsidRDefault="00E47817" w:rsidP="00E478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6"/>
          <w:szCs w:val="26"/>
          <w:lang w:eastAsia="ru-RU"/>
        </w:rPr>
      </w:pP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E47817" w:rsidRPr="009F0BAF" w:rsidRDefault="00E47817" w:rsidP="00E4781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Перечень основных профилактических мероприятий Программы на </w:t>
      </w:r>
      <w:r w:rsidR="005735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2025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приведен в таблице №1. </w:t>
      </w: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 № 1</w:t>
      </w: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47817" w:rsidRPr="009F0BAF" w:rsidTr="00AE003B">
        <w:tc>
          <w:tcPr>
            <w:tcW w:w="720" w:type="dxa"/>
            <w:vAlign w:val="center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мероприятия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Адресат мероприятия</w:t>
            </w:r>
          </w:p>
        </w:tc>
      </w:tr>
      <w:tr w:rsidR="00E47817" w:rsidRPr="009F0BAF" w:rsidTr="00AE003B">
        <w:tc>
          <w:tcPr>
            <w:tcW w:w="720" w:type="dxa"/>
            <w:vMerge w:val="restart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на официальном сайте Администрации городского округа с внутригородским делением «город Махачкала» актуальной информации: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c>
          <w:tcPr>
            <w:tcW w:w="720" w:type="dxa"/>
            <w:vMerge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тексты нормативных правовых актов, регулирующих осуществление муниципального лесного контроля;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7817" w:rsidRPr="009F0BAF" w:rsidTr="00AE003B"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5735A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4" w:history="1">
              <w:r w:rsidR="00E47817" w:rsidRPr="009F0BAF">
                <w:rPr>
                  <w:rFonts w:ascii="Times New Roman" w:eastAsia="Times New Roman" w:hAnsi="Times New Roman"/>
                  <w:color w:val="000000"/>
                  <w:lang w:eastAsia="ru-RU"/>
                </w:rPr>
                <w:t>перечень</w:t>
              </w:r>
            </w:hyperlink>
            <w:r w:rsidR="00E47817"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1327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116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216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1389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128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срок до 3 дней со дня утверждения доклада 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1114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ежегодный доклад о муниципальном лесном контроле;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срок до 3 дней со дня утверждения доклада (не позднее 15 марта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1880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440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 профилактики на 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октября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(проект Программы для общественного обсуждения);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40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Ежегодных планов проведения плановых контрольных (надзорных) мероприятий по муниципальному лесному контролю 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5 рабочих дней со дня их утверждения 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204"/>
        </w:trPr>
        <w:tc>
          <w:tcPr>
            <w:tcW w:w="720" w:type="dxa"/>
            <w:vMerge w:val="restart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153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63"/>
        </w:trPr>
        <w:tc>
          <w:tcPr>
            <w:tcW w:w="720" w:type="dxa"/>
            <w:vMerge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публикаций на официальном сайте Администрации городского округа с внутригородским делением «город Махачкала»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2216"/>
        </w:trPr>
        <w:tc>
          <w:tcPr>
            <w:tcW w:w="7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лесного контроля в части компетенции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ежегодно, не позднее 1 марта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1076"/>
        </w:trPr>
        <w:tc>
          <w:tcPr>
            <w:tcW w:w="7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3305"/>
        </w:trPr>
        <w:tc>
          <w:tcPr>
            <w:tcW w:w="7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вопросам, связанным с организацией и осуществлением муниципального лесного контроля в отношении контролируемых лиц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обращениям контролируемых лиц и их представителей, поступившим в течении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188"/>
        </w:trPr>
        <w:tc>
          <w:tcPr>
            <w:tcW w:w="7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43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не реже чем 2 раза в год (</w:t>
            </w:r>
            <w:r w:rsidRPr="009F0BAF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Pr="009F0BAF">
              <w:rPr>
                <w:rFonts w:ascii="Times New Roman" w:eastAsia="Times New Roman" w:hAnsi="Times New Roman"/>
                <w:color w:val="000000"/>
                <w:lang w:val="en-US" w:eastAsia="ru-RU"/>
              </w:rPr>
              <w:t>IV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47817" w:rsidRPr="009F0BAF" w:rsidTr="00AE003B">
        <w:trPr>
          <w:trHeight w:val="188"/>
        </w:trPr>
        <w:tc>
          <w:tcPr>
            <w:tcW w:w="72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4320" w:type="dxa"/>
          </w:tcPr>
          <w:p w:rsidR="00E47817" w:rsidRPr="009F0BAF" w:rsidRDefault="00E47817" w:rsidP="005735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лесному контролю на территории городского округа с внутригородским делением «город Махачкала» на 202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90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октября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(разработка);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декабря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(утверждение)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9F0BAF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9F0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городского округа с внутригородским делением «город Махачкала», выделяемых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обеспечение текущей деятельности </w:t>
      </w:r>
      <w:r w:rsidR="005735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«Управление административно-технической инспекции и муниципального контроля города Махачкалы»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Отдельное финансирование на проведение контрольных мероприятий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 реализации настоящей программы не предусмотрено.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Текущее управление и контроль за ходом реализации Программы осуществляет Администрация городского округа с внутригородским делением «город Махачкала». Ответственным исполнителем Программы является </w:t>
      </w:r>
      <w:r w:rsidR="005735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МКУ «Управление административно-технической инспекции и муниципального контроля города Махачкалы»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Результаты профилактической работы включаются в ежегодные доклады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осуществлении муниципального лесно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 контроля и в виде отдельного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информационного сообщения размещаются на официальном сайте Администрация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городского округа с внутригородским делением «город Махачкала»</w:t>
      </w:r>
      <w:r w:rsidR="00D77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информационно-коммуникационной сети «Интернет». 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снижения</w:t>
      </w:r>
      <w:proofErr w:type="gramEnd"/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Целевые показатели результативности мероприятий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муниципальному лесному контролю: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Количество выявленных нарушений требований муниципального законодательства, шт.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Показатели эффективности: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муниципального законодательства.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E47817" w:rsidRPr="009F0BAF" w:rsidRDefault="00E47817" w:rsidP="00E4781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лесного контроля.</w:t>
      </w: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735A7" w:rsidRDefault="005735A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47817" w:rsidRPr="009F0BAF" w:rsidRDefault="00E47817" w:rsidP="00E47817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Таблица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9F0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</w:p>
    <w:p w:rsidR="00E47817" w:rsidRPr="009F0BAF" w:rsidRDefault="00E47817" w:rsidP="00E47817">
      <w:pPr>
        <w:tabs>
          <w:tab w:val="left" w:pos="388"/>
        </w:tabs>
        <w:suppressAutoHyphens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E47817" w:rsidRPr="009F0BAF" w:rsidTr="00AE003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E47817" w:rsidRPr="009F0BAF" w:rsidTr="00AE00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Пла</w:t>
            </w:r>
            <w:proofErr w:type="spellEnd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-новое </w:t>
            </w: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Фак-</w:t>
            </w: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тическ</w:t>
            </w:r>
            <w:proofErr w:type="spellEnd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ое</w:t>
            </w:r>
            <w:proofErr w:type="spellEnd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Отк</w:t>
            </w:r>
            <w:proofErr w:type="spellEnd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ло</w:t>
            </w:r>
            <w:proofErr w:type="spellEnd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-не-</w:t>
            </w:r>
            <w:proofErr w:type="spellStart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ние</w:t>
            </w:r>
            <w:proofErr w:type="spellEnd"/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, </w:t>
            </w: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Иные</w:t>
            </w:r>
          </w:p>
        </w:tc>
      </w:tr>
      <w:tr w:rsidR="00E47817" w:rsidRPr="009F0BAF" w:rsidTr="00AE003B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(План)</w:t>
            </w:r>
          </w:p>
          <w:p w:rsidR="00E47817" w:rsidRPr="009F0BAF" w:rsidRDefault="00E47817" w:rsidP="00AE00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>«Профилактика рисков причинения вреда (ущерба) охраняемым законом ценностям по муниципальному лесному контролю на территории</w:t>
            </w: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городского округа с внутригородским делением «город Махачкала» на </w:t>
            </w:r>
            <w:r w:rsidR="005735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9F0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5735A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  <w:r w:rsidR="00E47817"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Выполнение запланированных мероприятий</w:t>
            </w:r>
          </w:p>
          <w:p w:rsidR="00E47817" w:rsidRPr="009F0BAF" w:rsidRDefault="00E47817" w:rsidP="00AE003B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%</w:t>
            </w: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E47817" w:rsidRPr="009F0BAF" w:rsidRDefault="00E47817" w:rsidP="00AE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F0BAF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</w:tr>
    </w:tbl>
    <w:p w:rsidR="00E47817" w:rsidRPr="009F0BAF" w:rsidRDefault="00E47817" w:rsidP="00E478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3"/>
          <w:lang w:eastAsia="zh-CN" w:bidi="hi-IN"/>
        </w:rPr>
      </w:pPr>
    </w:p>
    <w:p w:rsidR="00E47817" w:rsidRPr="009F0BAF" w:rsidRDefault="00E47817" w:rsidP="00E47817">
      <w:pPr>
        <w:suppressAutoHyphens/>
        <w:autoSpaceDE w:val="0"/>
        <w:spacing w:after="0" w:line="240" w:lineRule="auto"/>
        <w:ind w:left="1416" w:hanging="1416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0419A4" w:rsidRDefault="000419A4"/>
    <w:sectPr w:rsidR="0004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51"/>
    <w:rsid w:val="000419A4"/>
    <w:rsid w:val="002F6851"/>
    <w:rsid w:val="005735A7"/>
    <w:rsid w:val="00D77FCA"/>
    <w:rsid w:val="00E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1943"/>
  <w15:chartTrackingRefBased/>
  <w15:docId w15:val="{738BCA0F-092F-43C8-AD46-F67C7A6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17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2384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dcterms:created xsi:type="dcterms:W3CDTF">2023-10-06T07:35:00Z</dcterms:created>
  <dcterms:modified xsi:type="dcterms:W3CDTF">2024-08-08T06:39:00Z</dcterms:modified>
</cp:coreProperties>
</file>